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81505" w14:textId="77777777" w:rsidR="00A3214C" w:rsidRPr="0007793C" w:rsidRDefault="00A3214C" w:rsidP="008F0320">
      <w:pPr>
        <w:pStyle w:val="NoSpacing"/>
        <w:rPr>
          <w:b/>
          <w:bCs/>
        </w:rPr>
      </w:pPr>
      <w:bookmarkStart w:id="0" w:name="_GoBack"/>
      <w:bookmarkEnd w:id="0"/>
    </w:p>
    <w:p w14:paraId="42131120" w14:textId="0931DEAC" w:rsidR="00A3214C" w:rsidRPr="0007793C" w:rsidRDefault="00A3214C" w:rsidP="008F0320">
      <w:pPr>
        <w:pStyle w:val="NoSpacing"/>
        <w:rPr>
          <w:b/>
          <w:bCs/>
        </w:rPr>
      </w:pPr>
      <w:r w:rsidRPr="0007793C">
        <w:rPr>
          <w:b/>
          <w:bCs/>
        </w:rPr>
        <w:t>Responsibility</w:t>
      </w:r>
    </w:p>
    <w:p w14:paraId="68019C77" w14:textId="30707E28" w:rsidR="00A3214C" w:rsidRPr="0007793C" w:rsidRDefault="00A3214C" w:rsidP="008F0320">
      <w:pPr>
        <w:pStyle w:val="NoSpacing"/>
      </w:pPr>
      <w:r w:rsidRPr="0007793C">
        <w:t>Kansas statute states th</w:t>
      </w:r>
      <w:r w:rsidR="0094393E" w:rsidRPr="0007793C">
        <w:t>at</w:t>
      </w:r>
      <w:r w:rsidRPr="0007793C">
        <w:t xml:space="preserve"> Community Service Coordinators are among those professionals who are mandated reporters of adult abuse, neglect, exploitation, or fiduciary abuse of certain adults.</w:t>
      </w:r>
    </w:p>
    <w:p w14:paraId="43DCD05A" w14:textId="77777777" w:rsidR="00A3214C" w:rsidRPr="0007793C" w:rsidRDefault="00A3214C" w:rsidP="008F0320">
      <w:pPr>
        <w:pStyle w:val="NoSpacing"/>
      </w:pPr>
    </w:p>
    <w:p w14:paraId="120B6FED" w14:textId="771D820D" w:rsidR="008F0320" w:rsidRPr="0007793C" w:rsidRDefault="008F0320" w:rsidP="008F0320">
      <w:pPr>
        <w:pStyle w:val="NoSpacing"/>
        <w:rPr>
          <w:b/>
          <w:bCs/>
        </w:rPr>
      </w:pPr>
      <w:r w:rsidRPr="0007793C">
        <w:rPr>
          <w:b/>
          <w:bCs/>
        </w:rPr>
        <w:t>Definitions:</w:t>
      </w:r>
    </w:p>
    <w:p w14:paraId="5BD1834E" w14:textId="77777777" w:rsidR="008F0320" w:rsidRPr="0007793C" w:rsidRDefault="008F0320" w:rsidP="008F0320">
      <w:pPr>
        <w:pStyle w:val="NoSpacing"/>
      </w:pPr>
      <w:r w:rsidRPr="0007793C">
        <w:t>"Abuse" means any act or failure to act performed intentionally or recklessly that causes or is likely to cause harm to a participant, including:</w:t>
      </w:r>
    </w:p>
    <w:p w14:paraId="0FA7279F" w14:textId="77777777" w:rsidR="008F0320" w:rsidRPr="0007793C" w:rsidRDefault="008F0320" w:rsidP="0094393E">
      <w:pPr>
        <w:pStyle w:val="ListParagraph"/>
        <w:numPr>
          <w:ilvl w:val="0"/>
          <w:numId w:val="1"/>
        </w:numPr>
        <w:ind w:left="360"/>
        <w:rPr>
          <w:rFonts w:cstheme="minorHAnsi"/>
        </w:rPr>
      </w:pPr>
      <w:r w:rsidRPr="0007793C">
        <w:rPr>
          <w:rFonts w:cstheme="minorHAnsi"/>
        </w:rPr>
        <w:t>Infliction of physical or mental injury;</w:t>
      </w:r>
    </w:p>
    <w:p w14:paraId="1AA7C1E6" w14:textId="77777777" w:rsidR="008F0320" w:rsidRPr="0007793C" w:rsidRDefault="008F0320" w:rsidP="0094393E">
      <w:pPr>
        <w:pStyle w:val="ListParagraph"/>
        <w:numPr>
          <w:ilvl w:val="0"/>
          <w:numId w:val="1"/>
        </w:numPr>
        <w:ind w:left="360"/>
        <w:rPr>
          <w:rFonts w:cstheme="minorHAnsi"/>
        </w:rPr>
      </w:pPr>
      <w:r w:rsidRPr="0007793C">
        <w:rPr>
          <w:rFonts w:cstheme="minorHAnsi"/>
        </w:rPr>
        <w:t>any sexual act with an individual when the individual does not consent or when the other person knows or should know that the individual is incapable of resisting or declining consent to the sexual act due to mental deficiency or disease or due to fear of retribution or hardship;</w:t>
      </w:r>
    </w:p>
    <w:p w14:paraId="30C664CE" w14:textId="77777777" w:rsidR="008F0320" w:rsidRPr="0007793C" w:rsidRDefault="008F0320" w:rsidP="0094393E">
      <w:pPr>
        <w:pStyle w:val="ListParagraph"/>
        <w:numPr>
          <w:ilvl w:val="0"/>
          <w:numId w:val="1"/>
        </w:numPr>
        <w:ind w:left="360"/>
        <w:rPr>
          <w:rFonts w:cstheme="minorHAnsi"/>
        </w:rPr>
      </w:pPr>
      <w:r w:rsidRPr="0007793C">
        <w:rPr>
          <w:rFonts w:cstheme="minorHAnsi"/>
        </w:rPr>
        <w:t>unreasonable use of physical restraint, isolation, or medication that harms or is likely to harm an individual;</w:t>
      </w:r>
    </w:p>
    <w:p w14:paraId="4615FAEB" w14:textId="77777777" w:rsidR="008F0320" w:rsidRPr="0007793C" w:rsidRDefault="008F0320" w:rsidP="0094393E">
      <w:pPr>
        <w:pStyle w:val="ListParagraph"/>
        <w:numPr>
          <w:ilvl w:val="0"/>
          <w:numId w:val="1"/>
        </w:numPr>
        <w:ind w:left="360"/>
        <w:rPr>
          <w:rFonts w:cstheme="minorHAnsi"/>
        </w:rPr>
      </w:pPr>
      <w:r w:rsidRPr="0007793C">
        <w:rPr>
          <w:rFonts w:cstheme="minorHAnsi"/>
        </w:rPr>
        <w:t>unreasonable use of a physical or chemical restraint, medication or isolation as punishment, for convenience, in conflict with a physician's orders or as a substitute for treatment, except where such conduct or physical restraint is in furtherance of the health and safety of the punishment, for the individual or another person;</w:t>
      </w:r>
    </w:p>
    <w:p w14:paraId="5447D92B" w14:textId="77777777" w:rsidR="008F0320" w:rsidRPr="0007793C" w:rsidRDefault="008F0320" w:rsidP="0094393E">
      <w:pPr>
        <w:pStyle w:val="ListParagraph"/>
        <w:numPr>
          <w:ilvl w:val="0"/>
          <w:numId w:val="1"/>
        </w:numPr>
        <w:ind w:left="360"/>
        <w:rPr>
          <w:rFonts w:cstheme="minorHAnsi"/>
        </w:rPr>
      </w:pPr>
      <w:r w:rsidRPr="0007793C">
        <w:rPr>
          <w:rFonts w:cstheme="minorHAnsi"/>
        </w:rPr>
        <w:t>a threat or menacing conduct directed toward a participant that results or might reasonably be expected to result in fear or emotional or mental distress to a participant;</w:t>
      </w:r>
    </w:p>
    <w:p w14:paraId="6363319E" w14:textId="77777777" w:rsidR="008F0320" w:rsidRPr="0007793C" w:rsidRDefault="008F0320" w:rsidP="0094393E">
      <w:pPr>
        <w:pStyle w:val="ListParagraph"/>
        <w:numPr>
          <w:ilvl w:val="0"/>
          <w:numId w:val="1"/>
        </w:numPr>
        <w:ind w:left="360"/>
        <w:rPr>
          <w:rFonts w:cstheme="minorHAnsi"/>
        </w:rPr>
      </w:pPr>
      <w:r w:rsidRPr="0007793C">
        <w:rPr>
          <w:rFonts w:cstheme="minorHAnsi"/>
        </w:rPr>
        <w:t>fiduciary abuse; or</w:t>
      </w:r>
    </w:p>
    <w:p w14:paraId="6F7362EC" w14:textId="77777777" w:rsidR="008F0320" w:rsidRPr="0007793C" w:rsidRDefault="008F0320" w:rsidP="0094393E">
      <w:pPr>
        <w:pStyle w:val="ListParagraph"/>
        <w:numPr>
          <w:ilvl w:val="0"/>
          <w:numId w:val="1"/>
        </w:numPr>
        <w:ind w:left="360"/>
        <w:rPr>
          <w:rFonts w:cstheme="minorHAnsi"/>
        </w:rPr>
      </w:pPr>
      <w:r w:rsidRPr="0007793C">
        <w:rPr>
          <w:rFonts w:cstheme="minorHAnsi"/>
        </w:rPr>
        <w:t xml:space="preserve">omission or deprivation by a caretaker or another person of goods or services which are necessary to avoid physical or mental harm or illness.  </w:t>
      </w:r>
    </w:p>
    <w:p w14:paraId="38A6E07C" w14:textId="77777777" w:rsidR="008F0320" w:rsidRPr="0007793C" w:rsidRDefault="008F0320" w:rsidP="008F0320">
      <w:pPr>
        <w:rPr>
          <w:rFonts w:cstheme="minorHAnsi"/>
        </w:rPr>
      </w:pPr>
      <w:r w:rsidRPr="0007793C">
        <w:rPr>
          <w:rFonts w:cstheme="minorHAnsi"/>
          <w:b/>
          <w:bCs/>
        </w:rPr>
        <w:t>"Neglect"</w:t>
      </w:r>
      <w:r w:rsidRPr="0007793C">
        <w:rPr>
          <w:rFonts w:cstheme="minorHAnsi"/>
        </w:rPr>
        <w:t xml:space="preserve"> means the failure or omission by one's self, caretaker or another person with a duty to provide goods or services which are reasonably necessary to ensure safety and well-being and to avoid physical or mental harm or illness.</w:t>
      </w:r>
    </w:p>
    <w:p w14:paraId="74FECC7C" w14:textId="77777777" w:rsidR="008F0320" w:rsidRPr="0007793C" w:rsidRDefault="008F0320" w:rsidP="008F0320">
      <w:pPr>
        <w:rPr>
          <w:rFonts w:cstheme="minorHAnsi"/>
        </w:rPr>
      </w:pPr>
      <w:r w:rsidRPr="0007793C">
        <w:rPr>
          <w:rFonts w:cstheme="minorHAnsi"/>
          <w:b/>
          <w:bCs/>
        </w:rPr>
        <w:t>"Exploitation"</w:t>
      </w:r>
      <w:r w:rsidRPr="0007793C">
        <w:rPr>
          <w:rFonts w:cstheme="minorHAnsi"/>
        </w:rPr>
        <w:t xml:space="preserve"> means misappropriation of participant property or intentionally taking unfair advantage of an adult's physical or financial resources for another individual's personal or financial advantage by the use of undue influence, coercion, harassment, duress, deception, false representation or false pretense by a caretaker or another person.</w:t>
      </w:r>
    </w:p>
    <w:p w14:paraId="6DF7B046" w14:textId="77777777" w:rsidR="008F0320" w:rsidRPr="0007793C" w:rsidRDefault="008F0320" w:rsidP="008F0320">
      <w:pPr>
        <w:rPr>
          <w:rFonts w:cstheme="minorHAnsi"/>
        </w:rPr>
      </w:pPr>
      <w:r w:rsidRPr="0007793C">
        <w:rPr>
          <w:rFonts w:cstheme="minorHAnsi"/>
          <w:b/>
          <w:bCs/>
        </w:rPr>
        <w:t>"Fiduciary abuse"</w:t>
      </w:r>
      <w:r w:rsidRPr="0007793C">
        <w:rPr>
          <w:rFonts w:cstheme="minorHAnsi"/>
        </w:rPr>
        <w:t xml:space="preserve"> means a situation in which any person who is the caretaker of, or who stands in a position of trust to, a participant, takes, secretes, or appropriates the participant's money or property, to any use or purpose not in the due and lawful execution of such person's trust.</w:t>
      </w:r>
    </w:p>
    <w:p w14:paraId="758813A8" w14:textId="77777777" w:rsidR="00D44849" w:rsidRPr="0007793C" w:rsidRDefault="008F0320" w:rsidP="008F0320">
      <w:pPr>
        <w:rPr>
          <w:rFonts w:cstheme="minorHAnsi"/>
        </w:rPr>
      </w:pPr>
      <w:r w:rsidRPr="0007793C">
        <w:rPr>
          <w:rFonts w:cstheme="minorHAnsi"/>
          <w:b/>
          <w:bCs/>
        </w:rPr>
        <w:t>Reporting</w:t>
      </w:r>
      <w:r w:rsidRPr="0007793C">
        <w:rPr>
          <w:rFonts w:cstheme="minorHAnsi"/>
          <w:b/>
          <w:bCs/>
        </w:rPr>
        <w:br/>
      </w:r>
      <w:r w:rsidR="00D44849" w:rsidRPr="0007793C">
        <w:rPr>
          <w:rFonts w:cstheme="minorHAnsi"/>
        </w:rPr>
        <w:t>If the vulnerable adult is in immediate danger, contact local law enforcement agency immediately.</w:t>
      </w:r>
    </w:p>
    <w:p w14:paraId="705D575C" w14:textId="1C807C81" w:rsidR="008F0320" w:rsidRPr="0007793C" w:rsidRDefault="00D44849" w:rsidP="008F0320">
      <w:pPr>
        <w:rPr>
          <w:rFonts w:cstheme="minorHAnsi"/>
        </w:rPr>
      </w:pPr>
      <w:r w:rsidRPr="0007793C">
        <w:rPr>
          <w:rFonts w:cstheme="minorHAnsi"/>
        </w:rPr>
        <w:t xml:space="preserve">If the vulnerable adult is not in immediate danger, but there is a reason to believe that they are experiencing </w:t>
      </w:r>
      <w:r w:rsidR="008F0320" w:rsidRPr="0007793C">
        <w:rPr>
          <w:rFonts w:cstheme="minorHAnsi"/>
        </w:rPr>
        <w:t>abuse, neglect, exploit</w:t>
      </w:r>
      <w:r w:rsidRPr="0007793C">
        <w:rPr>
          <w:rFonts w:cstheme="minorHAnsi"/>
        </w:rPr>
        <w:t>ation</w:t>
      </w:r>
      <w:r w:rsidR="008F0320" w:rsidRPr="0007793C">
        <w:rPr>
          <w:rFonts w:cstheme="minorHAnsi"/>
        </w:rPr>
        <w:t>, or fiduciary</w:t>
      </w:r>
      <w:r w:rsidRPr="0007793C">
        <w:rPr>
          <w:rFonts w:cstheme="minorHAnsi"/>
        </w:rPr>
        <w:t xml:space="preserve">, contact </w:t>
      </w:r>
      <w:r w:rsidRPr="0007793C">
        <w:rPr>
          <w:rFonts w:cstheme="minorHAnsi"/>
          <w:b/>
          <w:bCs/>
        </w:rPr>
        <w:t>Kansas</w:t>
      </w:r>
      <w:r w:rsidR="008F0320" w:rsidRPr="0007793C">
        <w:rPr>
          <w:rFonts w:cstheme="minorHAnsi"/>
        </w:rPr>
        <w:t xml:space="preserve"> </w:t>
      </w:r>
      <w:r w:rsidR="008F0320" w:rsidRPr="0007793C">
        <w:rPr>
          <w:rFonts w:cstheme="minorHAnsi"/>
          <w:b/>
          <w:bCs/>
        </w:rPr>
        <w:t>Report Center at 1-800-922-5330</w:t>
      </w:r>
      <w:r w:rsidR="008F0320" w:rsidRPr="0007793C">
        <w:rPr>
          <w:rFonts w:cstheme="minorHAnsi"/>
        </w:rPr>
        <w:t xml:space="preserve"> (Telephone lines are staffed 24 hours a day.)</w:t>
      </w:r>
    </w:p>
    <w:p w14:paraId="083514B8" w14:textId="7073E2BB" w:rsidR="00A3214C" w:rsidRPr="0007793C" w:rsidRDefault="00A3214C" w:rsidP="008F0320">
      <w:pPr>
        <w:rPr>
          <w:rFonts w:cstheme="minorHAnsi"/>
        </w:rPr>
      </w:pPr>
      <w:r w:rsidRPr="0007793C">
        <w:rPr>
          <w:rFonts w:cstheme="minorHAnsi"/>
        </w:rPr>
        <w:t>As a mandated reported, I have read, understand, and agree to meet my responsibilities to report abuse, neglect, exploitation, or fiduciary abuse.</w:t>
      </w:r>
    </w:p>
    <w:tbl>
      <w:tblPr>
        <w:tblStyle w:val="TableGrid"/>
        <w:tblW w:w="0" w:type="auto"/>
        <w:tblInd w:w="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30"/>
        <w:gridCol w:w="271"/>
        <w:gridCol w:w="3599"/>
      </w:tblGrid>
      <w:tr w:rsidR="0094393E" w:rsidRPr="0007793C" w14:paraId="2EB86628" w14:textId="77777777" w:rsidTr="00B34105">
        <w:tc>
          <w:tcPr>
            <w:tcW w:w="6930" w:type="dxa"/>
            <w:tcBorders>
              <w:top w:val="nil"/>
              <w:left w:val="nil"/>
              <w:bottom w:val="single" w:sz="4" w:space="0" w:color="auto"/>
              <w:right w:val="nil"/>
            </w:tcBorders>
            <w:vAlign w:val="bottom"/>
          </w:tcPr>
          <w:p w14:paraId="47ED52DE" w14:textId="7F689A26" w:rsidR="0094393E" w:rsidRPr="0007793C" w:rsidRDefault="0094393E">
            <w:pPr>
              <w:spacing w:line="240" w:lineRule="auto"/>
              <w:rPr>
                <w:rFonts w:cstheme="minorHAnsi"/>
              </w:rPr>
            </w:pPr>
          </w:p>
        </w:tc>
        <w:tc>
          <w:tcPr>
            <w:tcW w:w="271" w:type="dxa"/>
            <w:tcBorders>
              <w:top w:val="nil"/>
              <w:left w:val="nil"/>
              <w:bottom w:val="nil"/>
              <w:right w:val="nil"/>
            </w:tcBorders>
          </w:tcPr>
          <w:p w14:paraId="14D44F36" w14:textId="77777777" w:rsidR="0094393E" w:rsidRPr="0007793C" w:rsidRDefault="0094393E">
            <w:pPr>
              <w:spacing w:line="240" w:lineRule="auto"/>
              <w:rPr>
                <w:rFonts w:cstheme="minorHAnsi"/>
              </w:rPr>
            </w:pPr>
          </w:p>
        </w:tc>
        <w:tc>
          <w:tcPr>
            <w:tcW w:w="3599" w:type="dxa"/>
            <w:tcBorders>
              <w:top w:val="nil"/>
              <w:left w:val="nil"/>
              <w:bottom w:val="nil"/>
              <w:right w:val="nil"/>
            </w:tcBorders>
            <w:vAlign w:val="bottom"/>
          </w:tcPr>
          <w:p w14:paraId="7690DE98" w14:textId="67968760" w:rsidR="0094393E" w:rsidRPr="0007793C" w:rsidRDefault="0094393E">
            <w:pPr>
              <w:spacing w:line="240" w:lineRule="auto"/>
              <w:rPr>
                <w:rFonts w:cstheme="minorHAnsi"/>
              </w:rPr>
            </w:pPr>
          </w:p>
        </w:tc>
      </w:tr>
      <w:tr w:rsidR="00B34105" w:rsidRPr="0007793C" w14:paraId="02FACA0D" w14:textId="77777777" w:rsidTr="00B34105">
        <w:tc>
          <w:tcPr>
            <w:tcW w:w="6930" w:type="dxa"/>
            <w:tcBorders>
              <w:top w:val="nil"/>
              <w:left w:val="nil"/>
              <w:bottom w:val="nil"/>
              <w:right w:val="nil"/>
            </w:tcBorders>
          </w:tcPr>
          <w:p w14:paraId="52693285" w14:textId="02747D27" w:rsidR="00B34105" w:rsidRPr="00B34105" w:rsidRDefault="00B34105" w:rsidP="00B34105">
            <w:pPr>
              <w:spacing w:line="240" w:lineRule="auto"/>
              <w:ind w:left="-113"/>
              <w:rPr>
                <w:rFonts w:cstheme="minorHAnsi"/>
                <w:sz w:val="16"/>
                <w:szCs w:val="16"/>
              </w:rPr>
            </w:pPr>
            <w:r w:rsidRPr="00B34105">
              <w:rPr>
                <w:rFonts w:cstheme="minorHAnsi"/>
              </w:rPr>
              <w:t>Printed name of CSC</w:t>
            </w:r>
          </w:p>
        </w:tc>
        <w:tc>
          <w:tcPr>
            <w:tcW w:w="271" w:type="dxa"/>
            <w:tcBorders>
              <w:top w:val="nil"/>
              <w:left w:val="nil"/>
              <w:bottom w:val="nil"/>
              <w:right w:val="nil"/>
            </w:tcBorders>
          </w:tcPr>
          <w:p w14:paraId="28C3F66E" w14:textId="77777777" w:rsidR="00B34105" w:rsidRPr="0007793C" w:rsidRDefault="00B34105">
            <w:pPr>
              <w:spacing w:line="240" w:lineRule="auto"/>
              <w:rPr>
                <w:rFonts w:cstheme="minorHAnsi"/>
              </w:rPr>
            </w:pPr>
          </w:p>
        </w:tc>
        <w:tc>
          <w:tcPr>
            <w:tcW w:w="3599" w:type="dxa"/>
            <w:tcBorders>
              <w:top w:val="nil"/>
              <w:left w:val="nil"/>
              <w:bottom w:val="nil"/>
              <w:right w:val="nil"/>
            </w:tcBorders>
            <w:vAlign w:val="bottom"/>
          </w:tcPr>
          <w:p w14:paraId="00D192D6" w14:textId="77777777" w:rsidR="00B34105" w:rsidRPr="0007793C" w:rsidRDefault="00B34105">
            <w:pPr>
              <w:spacing w:line="240" w:lineRule="auto"/>
              <w:rPr>
                <w:rFonts w:cstheme="minorHAnsi"/>
              </w:rPr>
            </w:pPr>
          </w:p>
        </w:tc>
      </w:tr>
      <w:tr w:rsidR="00B34105" w:rsidRPr="0007793C" w14:paraId="50723D7E" w14:textId="77777777" w:rsidTr="00B34105">
        <w:tc>
          <w:tcPr>
            <w:tcW w:w="6930" w:type="dxa"/>
            <w:tcBorders>
              <w:top w:val="nil"/>
              <w:left w:val="nil"/>
              <w:bottom w:val="nil"/>
              <w:right w:val="nil"/>
            </w:tcBorders>
            <w:vAlign w:val="bottom"/>
          </w:tcPr>
          <w:p w14:paraId="4C8E837A" w14:textId="77777777" w:rsidR="00B34105" w:rsidRPr="0007793C" w:rsidRDefault="00B34105" w:rsidP="00B34105">
            <w:pPr>
              <w:spacing w:line="240" w:lineRule="auto"/>
              <w:ind w:left="-113"/>
              <w:rPr>
                <w:rFonts w:cstheme="minorHAnsi"/>
              </w:rPr>
            </w:pPr>
          </w:p>
        </w:tc>
        <w:tc>
          <w:tcPr>
            <w:tcW w:w="271" w:type="dxa"/>
            <w:tcBorders>
              <w:top w:val="nil"/>
              <w:left w:val="nil"/>
              <w:bottom w:val="nil"/>
              <w:right w:val="nil"/>
            </w:tcBorders>
          </w:tcPr>
          <w:p w14:paraId="1256C693" w14:textId="77777777" w:rsidR="00B34105" w:rsidRPr="0007793C" w:rsidRDefault="00B34105">
            <w:pPr>
              <w:spacing w:line="240" w:lineRule="auto"/>
              <w:rPr>
                <w:rFonts w:cstheme="minorHAnsi"/>
              </w:rPr>
            </w:pPr>
          </w:p>
        </w:tc>
        <w:tc>
          <w:tcPr>
            <w:tcW w:w="3599" w:type="dxa"/>
            <w:tcBorders>
              <w:top w:val="nil"/>
              <w:left w:val="nil"/>
              <w:bottom w:val="nil"/>
              <w:right w:val="nil"/>
            </w:tcBorders>
            <w:vAlign w:val="bottom"/>
          </w:tcPr>
          <w:p w14:paraId="260CB46B" w14:textId="77777777" w:rsidR="00B34105" w:rsidRPr="0007793C" w:rsidRDefault="00B34105">
            <w:pPr>
              <w:spacing w:line="240" w:lineRule="auto"/>
              <w:rPr>
                <w:rFonts w:cstheme="minorHAnsi"/>
              </w:rPr>
            </w:pPr>
          </w:p>
        </w:tc>
      </w:tr>
      <w:tr w:rsidR="0007793C" w:rsidRPr="0007793C" w14:paraId="01E9424A" w14:textId="77777777" w:rsidTr="00B34105">
        <w:tc>
          <w:tcPr>
            <w:tcW w:w="6930" w:type="dxa"/>
            <w:tcBorders>
              <w:top w:val="nil"/>
              <w:left w:val="nil"/>
              <w:bottom w:val="single" w:sz="4" w:space="0" w:color="auto"/>
              <w:right w:val="nil"/>
            </w:tcBorders>
            <w:vAlign w:val="bottom"/>
          </w:tcPr>
          <w:p w14:paraId="278EE33E" w14:textId="77777777" w:rsidR="0007793C" w:rsidRPr="0007793C" w:rsidRDefault="0007793C">
            <w:pPr>
              <w:spacing w:line="240" w:lineRule="auto"/>
              <w:rPr>
                <w:rFonts w:cstheme="minorHAnsi"/>
              </w:rPr>
            </w:pPr>
          </w:p>
        </w:tc>
        <w:tc>
          <w:tcPr>
            <w:tcW w:w="271" w:type="dxa"/>
            <w:tcBorders>
              <w:top w:val="nil"/>
              <w:left w:val="nil"/>
              <w:bottom w:val="nil"/>
              <w:right w:val="nil"/>
            </w:tcBorders>
          </w:tcPr>
          <w:p w14:paraId="2FB07CF1" w14:textId="77777777" w:rsidR="0007793C" w:rsidRPr="0007793C" w:rsidRDefault="0007793C">
            <w:pPr>
              <w:spacing w:line="240" w:lineRule="auto"/>
              <w:rPr>
                <w:rFonts w:cstheme="minorHAnsi"/>
              </w:rPr>
            </w:pPr>
          </w:p>
        </w:tc>
        <w:tc>
          <w:tcPr>
            <w:tcW w:w="3599" w:type="dxa"/>
            <w:tcBorders>
              <w:top w:val="nil"/>
              <w:left w:val="nil"/>
              <w:bottom w:val="single" w:sz="4" w:space="0" w:color="auto"/>
              <w:right w:val="nil"/>
            </w:tcBorders>
            <w:vAlign w:val="bottom"/>
          </w:tcPr>
          <w:p w14:paraId="20B604F7" w14:textId="77777777" w:rsidR="0007793C" w:rsidRPr="0007793C" w:rsidRDefault="0007793C">
            <w:pPr>
              <w:spacing w:line="240" w:lineRule="auto"/>
              <w:rPr>
                <w:rFonts w:cstheme="minorHAnsi"/>
              </w:rPr>
            </w:pPr>
          </w:p>
        </w:tc>
      </w:tr>
      <w:tr w:rsidR="0094393E" w:rsidRPr="0007793C" w14:paraId="5F220F73" w14:textId="77777777" w:rsidTr="0094393E">
        <w:tc>
          <w:tcPr>
            <w:tcW w:w="6930" w:type="dxa"/>
            <w:tcBorders>
              <w:top w:val="single" w:sz="4" w:space="0" w:color="auto"/>
              <w:left w:val="nil"/>
              <w:bottom w:val="nil"/>
              <w:right w:val="nil"/>
            </w:tcBorders>
            <w:vAlign w:val="bottom"/>
          </w:tcPr>
          <w:p w14:paraId="41C3EAD0" w14:textId="6F3851D4" w:rsidR="0094393E" w:rsidRPr="0007793C" w:rsidRDefault="0094393E" w:rsidP="0094393E">
            <w:pPr>
              <w:spacing w:line="240" w:lineRule="auto"/>
              <w:ind w:left="-113"/>
              <w:rPr>
                <w:rFonts w:cstheme="minorHAnsi"/>
              </w:rPr>
            </w:pPr>
            <w:r w:rsidRPr="0007793C">
              <w:rPr>
                <w:rFonts w:cstheme="minorHAnsi"/>
              </w:rPr>
              <w:t>Signature</w:t>
            </w:r>
          </w:p>
        </w:tc>
        <w:tc>
          <w:tcPr>
            <w:tcW w:w="271" w:type="dxa"/>
            <w:tcBorders>
              <w:top w:val="nil"/>
              <w:left w:val="nil"/>
              <w:bottom w:val="nil"/>
              <w:right w:val="nil"/>
            </w:tcBorders>
          </w:tcPr>
          <w:p w14:paraId="117D53A0" w14:textId="77777777" w:rsidR="0094393E" w:rsidRPr="0007793C" w:rsidRDefault="0094393E" w:rsidP="0094393E">
            <w:pPr>
              <w:spacing w:line="240" w:lineRule="auto"/>
              <w:ind w:left="-113"/>
              <w:rPr>
                <w:rFonts w:cstheme="minorHAnsi"/>
              </w:rPr>
            </w:pPr>
          </w:p>
        </w:tc>
        <w:tc>
          <w:tcPr>
            <w:tcW w:w="3599" w:type="dxa"/>
            <w:tcBorders>
              <w:top w:val="single" w:sz="4" w:space="0" w:color="auto"/>
              <w:left w:val="nil"/>
              <w:bottom w:val="nil"/>
              <w:right w:val="nil"/>
            </w:tcBorders>
            <w:vAlign w:val="bottom"/>
          </w:tcPr>
          <w:p w14:paraId="14140575" w14:textId="2FEF7C39" w:rsidR="0094393E" w:rsidRPr="0007793C" w:rsidRDefault="0094393E" w:rsidP="0094393E">
            <w:pPr>
              <w:spacing w:line="240" w:lineRule="auto"/>
              <w:ind w:left="-113"/>
              <w:rPr>
                <w:rFonts w:cstheme="minorHAnsi"/>
              </w:rPr>
            </w:pPr>
            <w:r w:rsidRPr="0007793C">
              <w:rPr>
                <w:rFonts w:cstheme="minorHAnsi"/>
              </w:rPr>
              <w:t>Date</w:t>
            </w:r>
          </w:p>
        </w:tc>
      </w:tr>
    </w:tbl>
    <w:p w14:paraId="7333C699" w14:textId="103FF882" w:rsidR="0077161E" w:rsidRPr="0007793C" w:rsidRDefault="0077161E">
      <w:pPr>
        <w:rPr>
          <w:sz w:val="10"/>
          <w:szCs w:val="10"/>
        </w:rPr>
      </w:pPr>
    </w:p>
    <w:sectPr w:rsidR="0077161E" w:rsidRPr="0007793C" w:rsidSect="0094393E">
      <w:headerReference w:type="default" r:id="rId8"/>
      <w:footerReference w:type="default" r:id="rId9"/>
      <w:pgSz w:w="12240" w:h="15840"/>
      <w:pgMar w:top="144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46A1" w14:textId="77777777" w:rsidR="009F590F" w:rsidRDefault="009F590F" w:rsidP="008F0320">
      <w:pPr>
        <w:spacing w:after="0" w:line="240" w:lineRule="auto"/>
      </w:pPr>
      <w:r>
        <w:separator/>
      </w:r>
    </w:p>
  </w:endnote>
  <w:endnote w:type="continuationSeparator" w:id="0">
    <w:p w14:paraId="3E9240BE" w14:textId="77777777" w:rsidR="009F590F" w:rsidRDefault="009F590F" w:rsidP="008F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8150" w14:textId="7409B2C6" w:rsidR="0094393E" w:rsidRDefault="0094393E" w:rsidP="0094393E">
    <w:pPr>
      <w:pStyle w:val="Footer"/>
      <w:jc w:val="right"/>
    </w:pPr>
    <w:r>
      <w:t>Created: 5/19/21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A117" w14:textId="77777777" w:rsidR="009F590F" w:rsidRDefault="009F590F" w:rsidP="008F0320">
      <w:pPr>
        <w:spacing w:after="0" w:line="240" w:lineRule="auto"/>
      </w:pPr>
      <w:r>
        <w:separator/>
      </w:r>
    </w:p>
  </w:footnote>
  <w:footnote w:type="continuationSeparator" w:id="0">
    <w:p w14:paraId="622BA3B1" w14:textId="77777777" w:rsidR="009F590F" w:rsidRDefault="009F590F" w:rsidP="008F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EAC4" w14:textId="6EBD39F9" w:rsidR="008F0320" w:rsidRDefault="008F0320" w:rsidP="008F0320">
    <w:pPr>
      <w:pStyle w:val="Header"/>
      <w:tabs>
        <w:tab w:val="clear" w:pos="4680"/>
      </w:tabs>
      <w:jc w:val="center"/>
      <w:rPr>
        <w:b/>
        <w:bCs/>
        <w:sz w:val="28"/>
        <w:szCs w:val="28"/>
      </w:rPr>
    </w:pPr>
    <w:r>
      <w:rPr>
        <w:b/>
        <w:bCs/>
        <w:noProof/>
        <w:sz w:val="28"/>
        <w:szCs w:val="28"/>
      </w:rPr>
      <w:drawing>
        <wp:anchor distT="0" distB="0" distL="114300" distR="114300" simplePos="0" relativeHeight="251660288" behindDoc="0" locked="0" layoutInCell="1" allowOverlap="1" wp14:anchorId="55D0DCB8" wp14:editId="02A861E2">
          <wp:simplePos x="0" y="0"/>
          <wp:positionH relativeFrom="margin">
            <wp:posOffset>5694680</wp:posOffset>
          </wp:positionH>
          <wp:positionV relativeFrom="paragraph">
            <wp:posOffset>-153035</wp:posOffset>
          </wp:positionV>
          <wp:extent cx="1163320" cy="5778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 Logo_Final-01.png"/>
                  <pic:cNvPicPr/>
                </pic:nvPicPr>
                <pic:blipFill>
                  <a:blip r:embed="rId1">
                    <a:extLst>
                      <a:ext uri="{28A0092B-C50C-407E-A947-70E740481C1C}">
                        <a14:useLocalDpi xmlns:a14="http://schemas.microsoft.com/office/drawing/2010/main" val="0"/>
                      </a:ext>
                    </a:extLst>
                  </a:blip>
                  <a:stretch>
                    <a:fillRect/>
                  </a:stretch>
                </pic:blipFill>
                <pic:spPr>
                  <a:xfrm>
                    <a:off x="0" y="0"/>
                    <a:ext cx="1163320" cy="5778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9264" behindDoc="0" locked="0" layoutInCell="1" allowOverlap="1" wp14:anchorId="242F8F93" wp14:editId="14DCC4E2">
          <wp:simplePos x="0" y="0"/>
          <wp:positionH relativeFrom="margin">
            <wp:posOffset>0</wp:posOffset>
          </wp:positionH>
          <wp:positionV relativeFrom="paragraph">
            <wp:posOffset>-236220</wp:posOffset>
          </wp:positionV>
          <wp:extent cx="692150" cy="664845"/>
          <wp:effectExtent l="0" t="0" r="0" b="190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logo.jpg"/>
                  <pic:cNvPicPr/>
                </pic:nvPicPr>
                <pic:blipFill>
                  <a:blip r:embed="rId2">
                    <a:extLst>
                      <a:ext uri="{28A0092B-C50C-407E-A947-70E740481C1C}">
                        <a14:useLocalDpi xmlns:a14="http://schemas.microsoft.com/office/drawing/2010/main" val="0"/>
                      </a:ext>
                    </a:extLst>
                  </a:blip>
                  <a:stretch>
                    <a:fillRect/>
                  </a:stretch>
                </pic:blipFill>
                <pic:spPr>
                  <a:xfrm>
                    <a:off x="0" y="0"/>
                    <a:ext cx="692150" cy="664845"/>
                  </a:xfrm>
                  <a:prstGeom prst="rect">
                    <a:avLst/>
                  </a:prstGeom>
                </pic:spPr>
              </pic:pic>
            </a:graphicData>
          </a:graphic>
          <wp14:sizeRelH relativeFrom="margin">
            <wp14:pctWidth>0</wp14:pctWidth>
          </wp14:sizeRelH>
          <wp14:sizeRelV relativeFrom="margin">
            <wp14:pctHeight>0</wp14:pctHeight>
          </wp14:sizeRelV>
        </wp:anchor>
      </w:drawing>
    </w:r>
    <w:r w:rsidRPr="00892516">
      <w:rPr>
        <w:b/>
        <w:bCs/>
        <w:i/>
        <w:iCs/>
        <w:sz w:val="28"/>
        <w:szCs w:val="28"/>
      </w:rPr>
      <w:t xml:space="preserve">STEPS </w:t>
    </w:r>
    <w:r w:rsidRPr="00892516">
      <w:rPr>
        <w:b/>
        <w:bCs/>
        <w:sz w:val="28"/>
        <w:szCs w:val="28"/>
      </w:rPr>
      <w:t>(Support and Training to Employ People Successfully)</w:t>
    </w:r>
  </w:p>
  <w:p w14:paraId="6C660069" w14:textId="2DE6C185" w:rsidR="00011ED1" w:rsidRPr="00892516" w:rsidRDefault="00011ED1" w:rsidP="008F0320">
    <w:pPr>
      <w:pStyle w:val="Header"/>
      <w:tabs>
        <w:tab w:val="clear" w:pos="4680"/>
      </w:tabs>
      <w:jc w:val="center"/>
      <w:rPr>
        <w:b/>
        <w:bCs/>
        <w:sz w:val="28"/>
        <w:szCs w:val="28"/>
      </w:rPr>
    </w:pPr>
    <w:r>
      <w:rPr>
        <w:b/>
        <w:bCs/>
        <w:sz w:val="28"/>
        <w:szCs w:val="28"/>
      </w:rPr>
      <w:t>Community Service Coordinator Mandated Reporter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A4844"/>
    <w:multiLevelType w:val="hybridMultilevel"/>
    <w:tmpl w:val="3C54C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TNdkoYcxQ9B6VFf3Tdx8iMMl/rvpEki9m79HJmOGnZhATi79DPLkzBCGpaYtq+ktfa5SIM7bppv6utYuceHxug==" w:salt="TWJ0o9LGhhnsNisl/T1W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20"/>
    <w:rsid w:val="00011ED1"/>
    <w:rsid w:val="0007793C"/>
    <w:rsid w:val="0047314C"/>
    <w:rsid w:val="00560CA7"/>
    <w:rsid w:val="0077161E"/>
    <w:rsid w:val="008F0320"/>
    <w:rsid w:val="0094393E"/>
    <w:rsid w:val="009F590F"/>
    <w:rsid w:val="00A3214C"/>
    <w:rsid w:val="00A378C0"/>
    <w:rsid w:val="00B2234F"/>
    <w:rsid w:val="00B34105"/>
    <w:rsid w:val="00BF4F94"/>
    <w:rsid w:val="00D44849"/>
    <w:rsid w:val="00DD7B9D"/>
    <w:rsid w:val="00D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434C9"/>
  <w15:chartTrackingRefBased/>
  <w15:docId w15:val="{76B4A750-8EE5-4CDF-9DF1-A30C452C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03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320"/>
    <w:pPr>
      <w:spacing w:after="0" w:line="240" w:lineRule="auto"/>
    </w:pPr>
  </w:style>
  <w:style w:type="paragraph" w:styleId="ListParagraph">
    <w:name w:val="List Paragraph"/>
    <w:basedOn w:val="Normal"/>
    <w:uiPriority w:val="34"/>
    <w:qFormat/>
    <w:rsid w:val="008F0320"/>
    <w:pPr>
      <w:ind w:left="720"/>
      <w:contextualSpacing/>
    </w:pPr>
  </w:style>
  <w:style w:type="character" w:styleId="PlaceholderText">
    <w:name w:val="Placeholder Text"/>
    <w:basedOn w:val="DefaultParagraphFont"/>
    <w:uiPriority w:val="99"/>
    <w:semiHidden/>
    <w:rsid w:val="008F0320"/>
    <w:rPr>
      <w:color w:val="808080"/>
    </w:rPr>
  </w:style>
  <w:style w:type="table" w:styleId="TableGrid">
    <w:name w:val="Table Grid"/>
    <w:basedOn w:val="TableNormal"/>
    <w:uiPriority w:val="39"/>
    <w:rsid w:val="008F03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320"/>
  </w:style>
  <w:style w:type="paragraph" w:styleId="Footer">
    <w:name w:val="footer"/>
    <w:basedOn w:val="Normal"/>
    <w:link w:val="FooterChar"/>
    <w:uiPriority w:val="99"/>
    <w:unhideWhenUsed/>
    <w:rsid w:val="008F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2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5968-6004-45F9-B483-4ADF7F94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 Hahs [KDHE]</cp:lastModifiedBy>
  <cp:revision>7</cp:revision>
  <dcterms:created xsi:type="dcterms:W3CDTF">2021-03-18T21:44:00Z</dcterms:created>
  <dcterms:modified xsi:type="dcterms:W3CDTF">2021-05-27T15:45:00Z</dcterms:modified>
</cp:coreProperties>
</file>